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4" w:rsidRPr="00D77A24" w:rsidRDefault="00D77A24" w:rsidP="00D77A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D77A24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333.12.</w:t>
      </w:r>
      <w:r w:rsidRPr="00D77A24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Налоговые ставки</w:t>
      </w:r>
    </w:p>
    <w:p w:rsidR="00D77A24" w:rsidRPr="00D77A24" w:rsidRDefault="00D77A24" w:rsidP="00D77A2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Энциклопедии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 другие </w:t>
      </w:r>
      <w:hyperlink r:id="rId6" w:anchor="block_33312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333.12 НК РФ</w:t>
      </w:r>
    </w:p>
    <w:p w:rsidR="00D77A24" w:rsidRPr="00D77A24" w:rsidRDefault="00D77A24" w:rsidP="00D77A2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7" w:anchor="block_295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4 декабря 2006 г. N 201-ФЗ в пункт 1 статьи 333.12 настоящего Кодекса внесены изменения, </w:t>
      </w:r>
      <w:hyperlink r:id="rId8" w:anchor="block_403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2007 г., но не ранее чем по истечении одного месяца со дня </w:t>
      </w:r>
      <w:hyperlink r:id="rId9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</w:t>
      </w:r>
      <w:bookmarkStart w:id="0" w:name="_GoBack"/>
      <w:bookmarkEnd w:id="0"/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анного Федерального закона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0" w:anchor="block_333121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Налоговые ставки устанавливаются по бассейнам рек, озер, морей и экономическим районам в следующих размерах:</w:t>
      </w:r>
    </w:p>
    <w:p w:rsidR="00D77A24" w:rsidRPr="00D77A24" w:rsidRDefault="00D77A24" w:rsidP="00D77A2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1" w:anchor="block_186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366-ФЗ в подпункт 1 пункта 1 статьи 33.12 настоящего Кодекса внесены изменения, </w:t>
      </w:r>
      <w:hyperlink r:id="rId12" w:anchor="block_95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13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4" w:anchor="block_333011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водному налогу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5" w:anchor="block_3331211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1) при заборе воды </w:t>
      </w:r>
      <w:proofErr w:type="gram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из</w:t>
      </w:r>
      <w:proofErr w:type="gram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: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поверхностных водных объектов в пределах установленных квартальных (годовых) </w:t>
      </w:r>
      <w:hyperlink r:id="rId16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лимитов водопользования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и подземных водных объектов в пределах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водоотбора</w:t>
      </w:r>
      <w:proofErr w:type="spell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 сутки (год):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2743"/>
        <w:gridCol w:w="2442"/>
        <w:gridCol w:w="1954"/>
      </w:tblGrid>
      <w:tr w:rsidR="00D77A24" w:rsidRPr="00D77A24" w:rsidTr="00D77A24">
        <w:trPr>
          <w:tblCellSpacing w:w="15" w:type="dxa"/>
        </w:trPr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Экономический район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Бассейн реки, озера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Налоговая ставка в рублях за 1 тыс. куб. м воды, забранной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из поверхностных водных объектов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из подземных</w:t>
            </w:r>
          </w:p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водных объектов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384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Нева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264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Печора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246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Северная Двина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312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378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Северо-Западный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294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390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Западная Двина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366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Нева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372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Центральный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360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Днепр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Дон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294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384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Западная Двина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354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Нева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264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Волго-Вятский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Северная Двина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312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Центрально-Черноземный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Днепр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318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Дон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402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354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318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Поволжский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294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Дон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420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264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Северо-Кавказский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Дон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390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486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Кубань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570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Самур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576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Сулак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456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540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Терек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468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558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654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Уральский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294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444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Обь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456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Урал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354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534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390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Западно-Сибирский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Обь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Восточно-Сибирский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Амур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Енисей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246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Лена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Обь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264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Озеро Байкал и его бассейн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576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678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Дальневосточный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Амур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264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Лена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Неман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324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336;</w:t>
            </w:r>
          </w:p>
        </w:tc>
      </w:tr>
    </w:tbl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территориального моря Российской Федерации и внутренних морских вод в пределах установленных квартальных (годовых) лимитов водопользования: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1"/>
        <w:gridCol w:w="4254"/>
      </w:tblGrid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lastRenderedPageBreak/>
              <w:t>Море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Налоговая ставка в рублях за 1 тыс. куб. м морской воды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Балтийское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8,28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Белое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8,40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Баренцево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6,36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Азовское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14,88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Черное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14,88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Каспийское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11,52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Карское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4,80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Лаптевых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4,68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Восточно-Сибирское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4,44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Чукотское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4,32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Берингово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5,28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Тихий океан (в пределах территориального моря Российской Федерации)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5,64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Охотское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7,68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Японское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8,04;</w:t>
            </w:r>
          </w:p>
        </w:tc>
      </w:tr>
    </w:tbl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при использовании акватории: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поверхностных водных объектов, за исключением сплава древесины в плотах и кошелях: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4748"/>
      </w:tblGrid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Экономический район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Налоговая ставка (тыс. рублей в год) за 1 кв. км используемой акватории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Северный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32,16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Северо-Западный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33,96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Центральный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30,84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Волго-Вятский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29,04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Центрально-Черноземный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30,12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lastRenderedPageBreak/>
              <w:t>Поволжский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30,48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Северо-Кавказский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34,44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Уральский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32,04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Западно-Сибирский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30,24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Восточно-Сибирский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28,20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Дальневосточный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31,32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30,84;</w:t>
            </w:r>
          </w:p>
        </w:tc>
      </w:tr>
    </w:tbl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территориального моря Российской Федерации и внутренних морских вод: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5030"/>
      </w:tblGrid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Море</w:t>
            </w:r>
          </w:p>
        </w:tc>
        <w:tc>
          <w:tcPr>
            <w:tcW w:w="5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Налоговая ставка (тыс. рублей в год) за 1 кв. км используемой акватории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Балтийское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33,84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Белое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27,72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Баренцево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30,72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Азовское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44,88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Черное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49,80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Каспийское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42,24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Карское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15,72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Лаптевых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15,12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Восточно-Сибирское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15,00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Чукотское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14,04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Берингово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26,16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Тихий океан (в пределах территориального моря Российской Федерации)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29,28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Охотское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35,28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Японское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38,52;</w:t>
            </w:r>
          </w:p>
        </w:tc>
      </w:tr>
    </w:tbl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3) при использовании водных объектов без забора воды для целей гидроэнергетики: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4201"/>
      </w:tblGrid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Бассейн реки, озера, моря</w:t>
            </w:r>
          </w:p>
        </w:tc>
        <w:tc>
          <w:tcPr>
            <w:tcW w:w="4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Налоговая ставка в рублях за 1 тыс. </w:t>
            </w:r>
            <w:r w:rsidRPr="00D77A24"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5EECEAD2" wp14:editId="41F966B6">
                  <wp:extent cx="514350" cy="200025"/>
                  <wp:effectExtent l="0" t="0" r="0" b="9525"/>
                  <wp:docPr id="1" name="Рисунок 1" descr="http://base.garant.ru/files/base/10900200/3529399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0900200/3529399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электроэнергии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Нева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8,76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Неман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8,76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Реки бассейнов Ладожского и Онежского озер и озера Ильмень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9,00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бассейна Балтийского моря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8,88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Северная Двина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8,76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бассейна Белого моря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9,00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Реки бассейна Баренцева моря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8,76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Амур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9,24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9,84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Дон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9,72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Енисей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13,70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Кубань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8,88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Лена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13,50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Обь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12,30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Сулак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7,20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Терек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8,40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Урал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8,52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Бассейн озера Байкал и река Ангара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13,20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Реки бассейна Восточно-Сибирского моря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8,52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Реки бассейнов Чукотского и Берингова морей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10,44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lastRenderedPageBreak/>
              <w:t>Прочие реки и озера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4,80;</w:t>
            </w:r>
          </w:p>
        </w:tc>
      </w:tr>
    </w:tbl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4) при использовании водных объектов для целей сплава древесины в плотах и кошелях: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4337"/>
      </w:tblGrid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Бассейн реки, озера, моря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Налоговая ставка в рублях за 1 тыс. куб. м сплавляемой в плотах и кошелях древесины на каждые 100 км сплава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Нева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1 656,0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Реки бассейнов Ладожского и Онежского озер и озера Ильмень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1 705,2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бассейна Балтийского моря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1 522,8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Северная Двина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1 650,0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бассейна Белого моря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1 454,4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Печора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1 554,0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Амур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1 476,0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Волга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1 636,8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Енисей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1 585,2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Лена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1 646,4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Обь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1 576,8</w:t>
            </w:r>
          </w:p>
        </w:tc>
      </w:tr>
      <w:tr w:rsidR="00D77A24" w:rsidRPr="00D77A24" w:rsidTr="00D77A24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Прочие реки и озера, по которым осуществляется сплав древесины в плотах и кошелях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A24" w:rsidRPr="00D77A24" w:rsidRDefault="00D77A24" w:rsidP="00D7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D77A24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1 183,2.</w:t>
            </w:r>
          </w:p>
        </w:tc>
      </w:tr>
    </w:tbl>
    <w:p w:rsidR="00D77A24" w:rsidRPr="00D77A24" w:rsidRDefault="00D77A24" w:rsidP="00D77A2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8" w:anchor="block_187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366-ФЗ статья 333.12 настоящего Кодекса дополнена пунктом 1.1, </w:t>
      </w:r>
      <w:hyperlink r:id="rId19" w:anchor="block_95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20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21" w:anchor="block_333011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водному налогу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1.1. </w:t>
      </w:r>
      <w:proofErr w:type="gram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Налоговые ставки, установленные в </w:t>
      </w:r>
      <w:hyperlink r:id="rId22" w:anchor="block_33312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 1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настоящей статьи с учетом положений пунктов 2, 4 и 5 настоящей статьи, применяются в 2015 году с коэффициентом 1,15, в 2016 году - с коэффициентом 1,32, в 2017 году - с коэффициентом 1,52, в 2018 году - с коэффициентом 1,75, в 2019 году - с коэффициентом 2,01, в 2020 году - с коэффициентом 2,31, в 2021 году - с </w:t>
      </w: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коэффициентом</w:t>
      </w:r>
      <w:proofErr w:type="gram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2,66, в 2022 году - с коэффициентом 3,06, в 2023 году - с коэффициентом 3,52, в 2024 году - с коэффициентом 4,05, в 2025 году - с коэффициентом 4,65.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Начиная с 2026 года налоговые ставки, указанные в </w:t>
      </w:r>
      <w:hyperlink r:id="rId23" w:anchor="block_33312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 1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статьи, применяются с коэффициентами, определенными в соответствии с настоящим пунктом для года, предшествующего году </w:t>
      </w:r>
      <w:hyperlink r:id="rId24" w:anchor="block_33301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умноженными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федеральным органом исполнительной власти, осуществляющим функции по нормативно-правовому регулированию в сфере анализа и</w:t>
      </w:r>
      <w:proofErr w:type="gram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прогнозирования социально-экономического развития, в соответствии с данными государственной статистической отчетности для второго по порядку года, предшествующего году налогового периода.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Налоговая ставка с учетом указанных коэффициентов округляется до полного рубля в соответствии с действующим порядком округления.</w:t>
      </w:r>
    </w:p>
    <w:p w:rsidR="00D77A24" w:rsidRPr="00D77A24" w:rsidRDefault="00D77A24" w:rsidP="00D77A2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5" w:anchor="block_188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366-ФЗ в пункт 2 статьи 333.12 настоящего Кодекса внесены изменения, </w:t>
      </w:r>
      <w:hyperlink r:id="rId26" w:anchor="block_95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27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28" w:anchor="block_333011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водному налогу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9" w:anchor="block_333122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При заборе воды сверх установленных квартальных (годовых) лимитов водопользования налоговые ставки в части такого превышения устанавливаются в пятикратном размере налоговых ставок, установленных </w:t>
      </w:r>
      <w:hyperlink r:id="rId30" w:anchor="block_33312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1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 с учетом коэффициентов, установленных </w:t>
      </w:r>
      <w:hyperlink r:id="rId31" w:anchor="block_331211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 1.1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настоящей статьи. В случае отсутствия у налогоплательщика утвержденных квартальных лимитов квартальные лимиты определяются </w:t>
      </w:r>
      <w:proofErr w:type="spell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расчетно</w:t>
      </w:r>
      <w:proofErr w:type="spell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как одна четвертая утвержденного годового лимита.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При добыче подземных вод сверх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водоотбора</w:t>
      </w:r>
      <w:proofErr w:type="spell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 сутки (год) в расчете за </w:t>
      </w:r>
      <w:hyperlink r:id="rId32" w:anchor="block_33301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налоговый период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налоговые ставки в части такого превышения устанавливаются в пятикратном размере налоговых ставок, установленных </w:t>
      </w:r>
      <w:hyperlink r:id="rId33" w:anchor="block_33312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 1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 с учетом коэффициентов, установленных </w:t>
      </w:r>
      <w:hyperlink r:id="rId34" w:anchor="block_331211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 1.1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статьи.</w:t>
      </w:r>
      <w:proofErr w:type="gram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 случае отсутствия у </w:t>
      </w:r>
      <w:proofErr w:type="gram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налогоплательщика</w:t>
      </w:r>
      <w:proofErr w:type="gram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водоотбора</w:t>
      </w:r>
      <w:proofErr w:type="spell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 сутки (год) в расчете по кварталам квартальные значения определяются </w:t>
      </w:r>
      <w:proofErr w:type="spell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расчетно</w:t>
      </w:r>
      <w:proofErr w:type="spell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как одна четвертая утвержденного годового объема.</w:t>
      </w:r>
    </w:p>
    <w:p w:rsidR="00D77A24" w:rsidRPr="00D77A24" w:rsidRDefault="00D77A24" w:rsidP="00D77A2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5" w:anchor="block_189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366-ФЗ пункт 3 статьи 333.12 настоящего Кодекса изложен в новой редакции, </w:t>
      </w:r>
      <w:hyperlink r:id="rId36" w:anchor="block_95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37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38" w:anchor="block_333011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водному налогу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9" w:anchor="block_333123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Ставка водного налога при заборе (изъятии) водных ресурсов из водных объектов для водоснабжения населения устанавливается: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2015 года включительно - в размере 81 рубля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с 1 января по 31 декабря 2016 года включительно - в размере 93 рублей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2017 года включительно - в размере 107 рублей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2018 года включительно - в размере 122 рублей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2019 года включительно - в размере 141 рубля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2020 года включительно - в размере 162 рублей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2021 года включительно - в размере 186 рублей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2022 года включительно - в размере 214 рублей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2023 года включительно - в размере 246 рублей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2024 года включительно - в размере 283 рублей за одну тысячу кубических метров водных ресурсов, забранных (изъятых) из водного объекта;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 1 января по 31 декабря 2025 года включительно - в размере 326 рублей за одну тысячу кубических метров водных ресурсов, забранных (изъятых) из водного объекта.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Начиная с 2026 года ставка водного налога при заборе (изъятии) водных ресурсов из водных объектов для водоснабжения населения определяется ежегодно путем умножения ставки водного налога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федеральным органом исполнительной власти, осуществляющим функции по нормативно-правовому</w:t>
      </w:r>
      <w:proofErr w:type="gramEnd"/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регулированию в сфере анализа и прогнозирования социально-экономического развития, в соответствии с данными государственной статистической отчетности для второго по порядку года, предшествующего году налогового периода.</w:t>
      </w:r>
    </w:p>
    <w:p w:rsidR="00D77A24" w:rsidRPr="00D77A24" w:rsidRDefault="00D77A24" w:rsidP="00D77A2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0" w:anchor="block_190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366-ФЗ статья 333.12 настоящего Кодекса дополнена пунктом 4, </w:t>
      </w:r>
      <w:hyperlink r:id="rId41" w:anchor="block_95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42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43" w:anchor="block_333011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водному налогу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Налогоплательщики, не имеющие средств измерений (технических систем и устройств с измерительными функциями) для измерения количества водных ресурсов, забранных (изъятых) из водного объекта, применяют ставку водного налога, определяемую с учетом положений </w:t>
      </w:r>
      <w:hyperlink r:id="rId44" w:anchor="block_331211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пункта 1.1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статьи, с дополнительным коэффициентом 1,1.</w:t>
      </w:r>
    </w:p>
    <w:p w:rsidR="00D77A24" w:rsidRPr="00D77A24" w:rsidRDefault="00D77A24" w:rsidP="00D77A2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lastRenderedPageBreak/>
        <w:t>Информация об изменениях:</w:t>
      </w:r>
    </w:p>
    <w:p w:rsidR="00D77A24" w:rsidRPr="00D77A24" w:rsidRDefault="00D77A24" w:rsidP="00D77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5" w:anchor="block_190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366-ФЗ статья 333.12 настоящего Кодекса дополнена пунктом 5, </w:t>
      </w:r>
      <w:hyperlink r:id="rId46" w:anchor="block_95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47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48" w:anchor="block_333011" w:history="1">
        <w:r w:rsidRPr="00D77A2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D77A2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водному налогу</w:t>
      </w:r>
    </w:p>
    <w:p w:rsidR="00D77A24" w:rsidRPr="00D77A24" w:rsidRDefault="00D77A24" w:rsidP="00D77A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 Ставка водного налога при добыче подземных вод (за исключением промышленных, минеральных, а также термальных вод) в целях их реализации после обработки, подготовки, переработки и (или) упаковки в тару, определяемая с учетом положений </w:t>
      </w:r>
      <w:hyperlink r:id="rId49" w:anchor="block_3312111" w:history="1">
        <w:r w:rsidRPr="00D77A2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пункта 1.1</w:t>
        </w:r>
      </w:hyperlink>
      <w:r w:rsidRPr="00D77A2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статьи, применяется с дополнительным коэффициентом 10.</w:t>
      </w:r>
    </w:p>
    <w:p w:rsidR="003E74B0" w:rsidRPr="00D77A24" w:rsidRDefault="00D77A24" w:rsidP="00D77A24">
      <w:pPr>
        <w:rPr>
          <w:sz w:val="32"/>
        </w:rPr>
      </w:pPr>
      <w:r w:rsidRPr="00D77A24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D77A24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3E74B0" w:rsidRPr="00D7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24"/>
    <w:rsid w:val="003E74B0"/>
    <w:rsid w:val="00D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7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7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7A24"/>
  </w:style>
  <w:style w:type="character" w:customStyle="1" w:styleId="apple-converted-space">
    <w:name w:val="apple-converted-space"/>
    <w:basedOn w:val="a0"/>
    <w:rsid w:val="00D77A24"/>
  </w:style>
  <w:style w:type="paragraph" w:customStyle="1" w:styleId="s9">
    <w:name w:val="s_9"/>
    <w:basedOn w:val="a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A24"/>
    <w:rPr>
      <w:color w:val="0000FF"/>
      <w:u w:val="single"/>
    </w:rPr>
  </w:style>
  <w:style w:type="paragraph" w:customStyle="1" w:styleId="s22">
    <w:name w:val="s_22"/>
    <w:basedOn w:val="a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7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7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7A24"/>
  </w:style>
  <w:style w:type="character" w:customStyle="1" w:styleId="apple-converted-space">
    <w:name w:val="apple-converted-space"/>
    <w:basedOn w:val="a0"/>
    <w:rsid w:val="00D77A24"/>
  </w:style>
  <w:style w:type="paragraph" w:customStyle="1" w:styleId="s9">
    <w:name w:val="s_9"/>
    <w:basedOn w:val="a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A24"/>
    <w:rPr>
      <w:color w:val="0000FF"/>
      <w:u w:val="single"/>
    </w:rPr>
  </w:style>
  <w:style w:type="paragraph" w:customStyle="1" w:styleId="s22">
    <w:name w:val="s_22"/>
    <w:basedOn w:val="a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804235/" TargetMode="External"/><Relationship Id="rId18" Type="http://schemas.openxmlformats.org/officeDocument/2006/relationships/hyperlink" Target="http://base.garant.ru/70804234/" TargetMode="External"/><Relationship Id="rId26" Type="http://schemas.openxmlformats.org/officeDocument/2006/relationships/hyperlink" Target="http://base.garant.ru/70804234/" TargetMode="External"/><Relationship Id="rId39" Type="http://schemas.openxmlformats.org/officeDocument/2006/relationships/hyperlink" Target="http://base.garant.ru/58047699/3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900200/39/" TargetMode="External"/><Relationship Id="rId34" Type="http://schemas.openxmlformats.org/officeDocument/2006/relationships/hyperlink" Target="http://base.garant.ru/10900200/39/" TargetMode="External"/><Relationship Id="rId42" Type="http://schemas.openxmlformats.org/officeDocument/2006/relationships/hyperlink" Target="http://base.garant.ru/70804235/" TargetMode="External"/><Relationship Id="rId47" Type="http://schemas.openxmlformats.org/officeDocument/2006/relationships/hyperlink" Target="http://base.garant.ru/70804235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ase.garant.ru/12150843/" TargetMode="External"/><Relationship Id="rId12" Type="http://schemas.openxmlformats.org/officeDocument/2006/relationships/hyperlink" Target="http://base.garant.ru/70804234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base.garant.ru/70804234/" TargetMode="External"/><Relationship Id="rId33" Type="http://schemas.openxmlformats.org/officeDocument/2006/relationships/hyperlink" Target="http://base.garant.ru/10900200/39/" TargetMode="External"/><Relationship Id="rId38" Type="http://schemas.openxmlformats.org/officeDocument/2006/relationships/hyperlink" Target="http://base.garant.ru/10900200/39/" TargetMode="External"/><Relationship Id="rId46" Type="http://schemas.openxmlformats.org/officeDocument/2006/relationships/hyperlink" Target="http://base.garant.ru/708042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3974721/" TargetMode="External"/><Relationship Id="rId20" Type="http://schemas.openxmlformats.org/officeDocument/2006/relationships/hyperlink" Target="http://base.garant.ru/70804235/" TargetMode="External"/><Relationship Id="rId29" Type="http://schemas.openxmlformats.org/officeDocument/2006/relationships/hyperlink" Target="http://base.garant.ru/58047699/36/" TargetMode="External"/><Relationship Id="rId41" Type="http://schemas.openxmlformats.org/officeDocument/2006/relationships/hyperlink" Target="http://base.garant.ru/7080423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921846/" TargetMode="External"/><Relationship Id="rId11" Type="http://schemas.openxmlformats.org/officeDocument/2006/relationships/hyperlink" Target="http://base.garant.ru/70804234/" TargetMode="External"/><Relationship Id="rId24" Type="http://schemas.openxmlformats.org/officeDocument/2006/relationships/hyperlink" Target="http://base.garant.ru/10900200/39/" TargetMode="External"/><Relationship Id="rId32" Type="http://schemas.openxmlformats.org/officeDocument/2006/relationships/hyperlink" Target="http://base.garant.ru/10900200/39/" TargetMode="External"/><Relationship Id="rId37" Type="http://schemas.openxmlformats.org/officeDocument/2006/relationships/hyperlink" Target="http://base.garant.ru/70804235/" TargetMode="External"/><Relationship Id="rId40" Type="http://schemas.openxmlformats.org/officeDocument/2006/relationships/hyperlink" Target="http://base.garant.ru/70804234/" TargetMode="External"/><Relationship Id="rId45" Type="http://schemas.openxmlformats.org/officeDocument/2006/relationships/hyperlink" Target="http://base.garant.ru/70804234/" TargetMode="External"/><Relationship Id="rId5" Type="http://schemas.openxmlformats.org/officeDocument/2006/relationships/hyperlink" Target="http://base.garant.ru/57590017/" TargetMode="External"/><Relationship Id="rId15" Type="http://schemas.openxmlformats.org/officeDocument/2006/relationships/hyperlink" Target="http://base.garant.ru/58047699/36/" TargetMode="External"/><Relationship Id="rId23" Type="http://schemas.openxmlformats.org/officeDocument/2006/relationships/hyperlink" Target="http://base.garant.ru/10900200/39/" TargetMode="External"/><Relationship Id="rId28" Type="http://schemas.openxmlformats.org/officeDocument/2006/relationships/hyperlink" Target="http://base.garant.ru/10900200/39/" TargetMode="External"/><Relationship Id="rId36" Type="http://schemas.openxmlformats.org/officeDocument/2006/relationships/hyperlink" Target="http://base.garant.ru/70804234/" TargetMode="External"/><Relationship Id="rId49" Type="http://schemas.openxmlformats.org/officeDocument/2006/relationships/hyperlink" Target="http://base.garant.ru/10900200/39/" TargetMode="External"/><Relationship Id="rId10" Type="http://schemas.openxmlformats.org/officeDocument/2006/relationships/hyperlink" Target="http://base.garant.ru/5167864/" TargetMode="External"/><Relationship Id="rId19" Type="http://schemas.openxmlformats.org/officeDocument/2006/relationships/hyperlink" Target="http://base.garant.ru/70804234/" TargetMode="External"/><Relationship Id="rId31" Type="http://schemas.openxmlformats.org/officeDocument/2006/relationships/hyperlink" Target="http://base.garant.ru/10900200/39/" TargetMode="External"/><Relationship Id="rId44" Type="http://schemas.openxmlformats.org/officeDocument/2006/relationships/hyperlink" Target="http://base.garant.ru/10900200/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250843/" TargetMode="External"/><Relationship Id="rId14" Type="http://schemas.openxmlformats.org/officeDocument/2006/relationships/hyperlink" Target="http://base.garant.ru/10900200/39/" TargetMode="External"/><Relationship Id="rId22" Type="http://schemas.openxmlformats.org/officeDocument/2006/relationships/hyperlink" Target="http://base.garant.ru/10900200/39/" TargetMode="External"/><Relationship Id="rId27" Type="http://schemas.openxmlformats.org/officeDocument/2006/relationships/hyperlink" Target="http://base.garant.ru/70804235/" TargetMode="External"/><Relationship Id="rId30" Type="http://schemas.openxmlformats.org/officeDocument/2006/relationships/hyperlink" Target="http://base.garant.ru/10900200/39/" TargetMode="External"/><Relationship Id="rId35" Type="http://schemas.openxmlformats.org/officeDocument/2006/relationships/hyperlink" Target="http://base.garant.ru/70804234/" TargetMode="External"/><Relationship Id="rId43" Type="http://schemas.openxmlformats.org/officeDocument/2006/relationships/hyperlink" Target="http://base.garant.ru/10900200/39/" TargetMode="External"/><Relationship Id="rId48" Type="http://schemas.openxmlformats.org/officeDocument/2006/relationships/hyperlink" Target="http://base.garant.ru/10900200/39/" TargetMode="External"/><Relationship Id="rId8" Type="http://schemas.openxmlformats.org/officeDocument/2006/relationships/hyperlink" Target="http://base.garant.ru/12150843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2015-04-09T15:41:00Z</dcterms:created>
  <dcterms:modified xsi:type="dcterms:W3CDTF">2015-04-09T15:41:00Z</dcterms:modified>
</cp:coreProperties>
</file>