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center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МИНИСТЕРСТВО ФИНАНСОВ РОССИЙСКОЙ ФЕДЕРАЦИИ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center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ПРИКАЗ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center"/>
        <w:rPr>
          <w:rFonts w:ascii="Arial" w:hAnsi="Arial" w:cs="Arial"/>
          <w:sz w:val="26"/>
          <w:szCs w:val="26"/>
        </w:rPr>
      </w:pPr>
      <w:bookmarkStart w:id="0" w:name="_GoBack"/>
      <w:r w:rsidRPr="004064EF">
        <w:rPr>
          <w:rFonts w:ascii="Arial" w:hAnsi="Arial" w:cs="Arial"/>
          <w:sz w:val="26"/>
          <w:szCs w:val="26"/>
        </w:rPr>
        <w:t>от 25 ноября 2011 г. N 160</w:t>
      </w:r>
      <w:bookmarkEnd w:id="0"/>
      <w:r w:rsidRPr="004064EF">
        <w:rPr>
          <w:rFonts w:ascii="Arial" w:hAnsi="Arial" w:cs="Arial"/>
          <w:sz w:val="26"/>
          <w:szCs w:val="26"/>
        </w:rPr>
        <w:t>н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center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О ВВЕДЕНИИ В ДЕЙСТВИЕ МЕЖДУНАРОДНЫХ СТАНДАРТОВ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center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ФИНАНСОВОЙ ОТЧЕТНОСТИ И РАЗЪЯСНЕНИЙ МЕЖДУНАРОДНЫХ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center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СТАНДАРТОВ ФИНАНСОВОЙ ОТЧЕТНОСТИ НА ТЕРРИТОРИИ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center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РОССИЙСКОЙ ФЕДЕРАЦИИ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proofErr w:type="gramStart"/>
      <w:r w:rsidRPr="004064EF">
        <w:rPr>
          <w:rFonts w:ascii="Arial" w:hAnsi="Arial" w:cs="Arial"/>
          <w:sz w:val="26"/>
          <w:szCs w:val="26"/>
        </w:rPr>
        <w:t>В соответствии с Положением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Федерации, утвержденным Постановлением Правительства Российской Федерации от 25 февраля 2011 г. N 107 (Собрание законодательства Российской Федерации, 2011, N 10, ст. 1385), по согласованию с Федеральной службой по финансовым рынкам и Центральным банком Российской Федерации приказываю:</w:t>
      </w:r>
      <w:proofErr w:type="gramEnd"/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 xml:space="preserve">1. Ввести в действие на территории Российской </w:t>
      </w:r>
      <w:proofErr w:type="gramStart"/>
      <w:r w:rsidRPr="004064EF">
        <w:rPr>
          <w:rFonts w:ascii="Arial" w:hAnsi="Arial" w:cs="Arial"/>
          <w:sz w:val="26"/>
          <w:szCs w:val="26"/>
        </w:rPr>
        <w:t>Федерации</w:t>
      </w:r>
      <w:proofErr w:type="gramEnd"/>
      <w:r w:rsidRPr="004064EF">
        <w:rPr>
          <w:rFonts w:ascii="Arial" w:hAnsi="Arial" w:cs="Arial"/>
          <w:sz w:val="26"/>
          <w:szCs w:val="26"/>
        </w:rPr>
        <w:t xml:space="preserve"> следующие Международные стандарты финансовой отчетности и Разъяснения Международных стандартов финансовой отчетности:</w:t>
      </w:r>
    </w:p>
    <w:p w:rsidR="004064EF" w:rsidRPr="004064EF" w:rsidRDefault="004064EF" w:rsidP="004064EF">
      <w:pPr>
        <w:pStyle w:val="a3"/>
        <w:spacing w:before="0" w:beforeAutospacing="0" w:after="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hyperlink r:id="rId5" w:history="1">
        <w:r w:rsidRPr="004064EF">
          <w:rPr>
            <w:rStyle w:val="a4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Приложения N 1 - N 63 приведены в формате PDF</w:t>
        </w:r>
      </w:hyperlink>
      <w:r w:rsidRPr="004064EF">
        <w:rPr>
          <w:rFonts w:ascii="Arial" w:hAnsi="Arial" w:cs="Arial"/>
          <w:sz w:val="26"/>
          <w:szCs w:val="26"/>
        </w:rPr>
        <w:t>.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1) Международный стандарт финансовой отчетности (IAS) 1 "Представление финансовой отчетности" (приложение N 1);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2) Международный стандарт финансовой отчетности (IAS) 2 "Запасы" (приложение N 2);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3) Международный стандарт финансовой отчетности (IAS) 7 "Отчет о движении денежных средств" (приложение N 3);</w:t>
      </w:r>
    </w:p>
    <w:p w:rsidR="004064EF" w:rsidRPr="004064EF" w:rsidRDefault="004064EF" w:rsidP="004064EF">
      <w:pPr>
        <w:pStyle w:val="a3"/>
        <w:spacing w:before="0" w:beforeAutospacing="0" w:after="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4) Международный стандарт финансовой отчетности (IAS) 8 "</w:t>
      </w:r>
      <w:hyperlink r:id="rId6" w:tgtFrame="_blank" w:history="1">
        <w:r w:rsidRPr="004064EF">
          <w:rPr>
            <w:rStyle w:val="a4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Учетная политика</w:t>
        </w:r>
      </w:hyperlink>
      <w:r w:rsidRPr="004064EF">
        <w:rPr>
          <w:rFonts w:ascii="Arial" w:hAnsi="Arial" w:cs="Arial"/>
          <w:sz w:val="26"/>
          <w:szCs w:val="26"/>
        </w:rPr>
        <w:t>, изменения в бухгалтерских оценках и ошибки" (приложение N 4);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5) Международный стандарт финансовой отчетности (IAS) 10 "События после окончания отчетного периода" (приложение N 5);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6) Международный стандарт финансовой отчетности (IAS) 11 "Договоры на строительство" (приложение N 6);</w:t>
      </w:r>
    </w:p>
    <w:p w:rsidR="004064EF" w:rsidRPr="004064EF" w:rsidRDefault="004064EF" w:rsidP="004064EF">
      <w:pPr>
        <w:pStyle w:val="a3"/>
        <w:spacing w:before="0" w:beforeAutospacing="0" w:after="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7) Международный стандарт финансовой отчетности (IAS) 12 "</w:t>
      </w:r>
      <w:hyperlink r:id="rId7" w:history="1">
        <w:r w:rsidRPr="004064EF">
          <w:rPr>
            <w:rStyle w:val="a4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Налоги на прибыль</w:t>
        </w:r>
      </w:hyperlink>
      <w:r w:rsidRPr="004064EF">
        <w:rPr>
          <w:rFonts w:ascii="Arial" w:hAnsi="Arial" w:cs="Arial"/>
          <w:sz w:val="26"/>
          <w:szCs w:val="26"/>
        </w:rPr>
        <w:t>" (приложение N 7);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8) Международный стандарт финансовой отчетности (IAS) 16 "Основные средства" (приложение N 8);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9) Международный стандарт финансовой отчетности (IAS) 17 "Аренда" (приложение N 9);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10) Международный стандарт финансовой отчетности (IAS) 18 "Выручка" (приложение N 10);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lastRenderedPageBreak/>
        <w:t>11) Международный стандарт финансовой отчетности (IAS) 19 "Вознаграждения работникам" (приложение N 11);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12) Международный стандарт финансовой отчетности (IAS) 20 "Учет государственных субсидий и раскрытие информации о государственной помощи" (приложение N 12);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13) Международный стандарт финансовой отчетности (IAS) 21 "Влияние изменений обменных курсов валют" (приложение N 13);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14) Международный стандарт финансовой отчетности (IAS) 23 "Затраты по займам" (приложение N 14);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15) Международный стандарт финансовой отчетности (IAS) 24 "Раскрытие информации о связанных сторонах" (приложение N 15);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16) Международный стандарт финансовой отчетности (IAS) 26 "Учет и отчетность по пенсионным планам" (приложение N 16);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17) Международный стандарт финансовой отчетности (IAS) 27 "Консолидированная и отдельная финансовая отчетность" (приложение N 17);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18) Международный стандарт финансовой отчетности (IAS) 28 "Инвестиции в ассоциированные предприятия" (приложение N 18);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 xml:space="preserve">19) Международный стандарт финансовой отчетности (IAS) 29 "Финансовая отчетность в </w:t>
      </w:r>
      <w:proofErr w:type="spellStart"/>
      <w:r w:rsidRPr="004064EF">
        <w:rPr>
          <w:rFonts w:ascii="Arial" w:hAnsi="Arial" w:cs="Arial"/>
          <w:sz w:val="26"/>
          <w:szCs w:val="26"/>
        </w:rPr>
        <w:t>гиперинфляционной</w:t>
      </w:r>
      <w:proofErr w:type="spellEnd"/>
      <w:r w:rsidRPr="004064EF">
        <w:rPr>
          <w:rFonts w:ascii="Arial" w:hAnsi="Arial" w:cs="Arial"/>
          <w:sz w:val="26"/>
          <w:szCs w:val="26"/>
        </w:rPr>
        <w:t xml:space="preserve"> экономике" (приложение N 19);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20) Международный стандарт финансовой отчетности (IAS) 31 "Участие в совместном предпринимательстве" (приложение N 20);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21) Международный стандарт финансовой отчетности (IAS) 32 "Финансовые инструменты: представление информации" (приложение N 21);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22) Международный стандарт финансовой отчетности (IAS) 33 "Прибыль на акцию" (приложение N 22);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23) Международный стандарт финансовой отчетности (IAS) 34 "Промежуточная финансовая отчетность" (приложение N 23);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24) Международный стандарт финансовой отчетности (IAS) 36 "Обесценение активов" (приложение N 24);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25) Международный стандарт финансовой отчетности (IAS) 37 "Резервы, условные обязательства и условные активы" (приложение N 25);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26) Международный стандарт финансовой отчетности (IAS) 38 "Нематериальные активы" (приложение N 26);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27) Международный стандарт финансовой отчетности (IAS) 39 "Финансовые инструменты: признание и оценка" (приложение N 27);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28) Международный стандарт финансовой отчетности (IAS) 40 "Инвестиционное имущество" (приложение N 28);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lastRenderedPageBreak/>
        <w:t>29) Международный стандарт финансовой отчетности (IAS) 41 "Сельское хозяйство" (приложение N 29);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30) Международный стандарт финансовой отчетности (IFRS) 1 "Первое применение международных стандартов финансовой отчетности" (приложение N 30);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31) Международный стандарт финансовой отчетности (IFRS) 2 "Платеж, основанный на акциях" (приложение N 31);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32) Международный стандарт финансовой отчетности (IFRS) 3 "Объединения бизнеса" (приложение N 32);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33) Международный стандарт финансовой отчетности (IFRS) 4 "Договоры страхования" (приложение N 33);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34) Международный стандарт финансовой отчетности (IFRS) 5 "Долгосрочные активы, предназначенные для продажи, и прекращенная деятельность" (приложение N 34);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35) Международный стандарт финансовой отчетности (IFRS) 6 "Разведка и оценка запасов полезных ископаемых" (приложение N 35);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36) Международный стандарт финансовой отчетности (IFRS) 7 "Финансовые инструменты: раскрытие информации" (приложение N 36);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37) Международный стандарт финансовой отчетности (IFRS) 8 "Операционные сегменты" (приложение N 37);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38) Разъяснение ПКР (SIC) 7 "Введение Евро" (приложение N 38);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39) Разъяснение ПКР (SIC) 10 "Государственная помощь - отсутствие конкретной связи с операционной деятельностью" (приложение N 39);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40) Разъяснение ПКР (SIC) 12 "Консолидация предприятия специального назначения" (приложение N 40);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41) Разъяснение ПКР (SIC) 13 "Совместно контролируемые предприятия - немонетарные вклады участников совместного предпринимательства" (приложение N 41);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42) Разъяснение ПКР (SIC) 15 "Операционная аренда - стимулы" (приложение N 42);</w:t>
      </w:r>
    </w:p>
    <w:p w:rsidR="004064EF" w:rsidRPr="004064EF" w:rsidRDefault="004064EF" w:rsidP="004064EF">
      <w:pPr>
        <w:pStyle w:val="a3"/>
        <w:spacing w:before="0" w:beforeAutospacing="0" w:after="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43) Разъяснение ПКР (SIC) 25 "</w:t>
      </w:r>
      <w:hyperlink r:id="rId8" w:history="1">
        <w:r w:rsidRPr="004064EF">
          <w:rPr>
            <w:rStyle w:val="a4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Налоги на прибыль</w:t>
        </w:r>
      </w:hyperlink>
      <w:r w:rsidRPr="004064EF">
        <w:rPr>
          <w:rStyle w:val="apple-converted-space"/>
          <w:rFonts w:ascii="Arial" w:hAnsi="Arial" w:cs="Arial"/>
          <w:sz w:val="26"/>
          <w:szCs w:val="26"/>
        </w:rPr>
        <w:t> </w:t>
      </w:r>
      <w:r w:rsidRPr="004064EF">
        <w:rPr>
          <w:rFonts w:ascii="Arial" w:hAnsi="Arial" w:cs="Arial"/>
          <w:sz w:val="26"/>
          <w:szCs w:val="26"/>
        </w:rPr>
        <w:t>- изменения налогового статуса предприятия или его акционеров" (приложение N 43);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44) Разъяснение ПКР (SIC) 27 "Анализ сущности сделок, имеющих юридическую форму аренды" (приложение N 44);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45) Разъяснение ПКР (SIC) 29 "Раскрытие информации - концессионные соглашения на предоставление услуг" (приложение N 45);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46) Разъяснение ПКР (SIC) 31 "Выручка - бартерные операции, включающие рекламные услуги" (приложение N 46);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lastRenderedPageBreak/>
        <w:t>47) Разъяснение ПКР (SIC) 32 "Нематериальные активы - затраты на веб-сайт" (приложение N 47);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48) Разъяснение КРМФО (IFRIC) 1 "Изменения в существующих обязательствах по выводу объектов из эксплуатации, восстановлению природных ресурсов и иных аналогичных обязательствах" (приложение N 48);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49) Разъяснение КРМФО (IFRIC) 2 "Доли участников в кооперативных предприятиях и аналогичные инструменты" (приложение N 49);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50) Разъяснение КРМФО (IFRIC) 4 "Определение наличия в соглашении признаков договора аренды" (приложение N 50);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51) Разъяснение КРМФО (IFRIC) 5 "Права, связанные с участием в фондах финансирования вывода объектов из эксплуатации, рекультивации и экологической реабилитации" (приложение N 51);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52) Разъяснение КРМФО (IFRIC) 6 "Обязательства, возникающие в связи с деятельностью на специфическом рынке - рынке отходов электрического и электронного оборудования" (приложение N 52);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 xml:space="preserve">53) Разъяснение КРМФО (IFRIC) 7 "Применение подхода к пересчету статей финансовой отчетности в соответствии с МСФО (IAS) 29 "Финансовая отчетность в </w:t>
      </w:r>
      <w:proofErr w:type="spellStart"/>
      <w:r w:rsidRPr="004064EF">
        <w:rPr>
          <w:rFonts w:ascii="Arial" w:hAnsi="Arial" w:cs="Arial"/>
          <w:sz w:val="26"/>
          <w:szCs w:val="26"/>
        </w:rPr>
        <w:t>гиперинфляционной</w:t>
      </w:r>
      <w:proofErr w:type="spellEnd"/>
      <w:r w:rsidRPr="004064EF">
        <w:rPr>
          <w:rFonts w:ascii="Arial" w:hAnsi="Arial" w:cs="Arial"/>
          <w:sz w:val="26"/>
          <w:szCs w:val="26"/>
        </w:rPr>
        <w:t xml:space="preserve"> экономике" (приложение N 53);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54) Разъяснение КРМФО (IFRIC) 9 "Повторная оценка встроенных производных инструментов" (приложение N 54);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55) Разъяснение КРМФО (IFRIC) 10 "Промежуточная финансовая отчетность и обесценение" (приложение N 55);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56) Разъяснение КРМФО (IFRIC) 12 "Концессионные соглашения на предоставление услуг" (приложение N 56);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57) Разъяснение КРМФО (IFRIC) 13 "Программы лояльности клиентов" (приложение N 57);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58) Разъяснение КРМФО (IFRIC) 14 "МСФО (IAS) 19 - Предельная величина актива пенсионного плана с установленными выплатами, минимальные требования к финансированию и их взаимосвязь" (приложение N 58);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59) Разъяснение КРМФО (IFRIC) 15 "Соглашения на строительство объектов недвижимости" (приложение N 59);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60) Разъяснение КРМФО (IFRIC) 16 "Хеджирование чистой инвестиции в иностранную операцию" (приложение N 60);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 xml:space="preserve">61) Разъяснение КРМФО (IFRIC) 17 "Распределение </w:t>
      </w:r>
      <w:proofErr w:type="spellStart"/>
      <w:r w:rsidRPr="004064EF">
        <w:rPr>
          <w:rFonts w:ascii="Arial" w:hAnsi="Arial" w:cs="Arial"/>
          <w:sz w:val="26"/>
          <w:szCs w:val="26"/>
        </w:rPr>
        <w:t>неденежных</w:t>
      </w:r>
      <w:proofErr w:type="spellEnd"/>
      <w:r w:rsidRPr="004064EF">
        <w:rPr>
          <w:rFonts w:ascii="Arial" w:hAnsi="Arial" w:cs="Arial"/>
          <w:sz w:val="26"/>
          <w:szCs w:val="26"/>
        </w:rPr>
        <w:t xml:space="preserve"> активов в пользу собственников" (приложение N 61);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62) Разъяснение КРМФО (IFRIC) 18 "Передача активов от клиентов" (приложение N 62);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63) Разъяснение КРМФО (IFRIC) 19 "Погашение финансовых обязательств долевыми инструментами" (приложение N 63).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lastRenderedPageBreak/>
        <w:t xml:space="preserve">2. </w:t>
      </w:r>
      <w:proofErr w:type="gramStart"/>
      <w:r w:rsidRPr="004064EF">
        <w:rPr>
          <w:rFonts w:ascii="Arial" w:hAnsi="Arial" w:cs="Arial"/>
          <w:sz w:val="26"/>
          <w:szCs w:val="26"/>
        </w:rPr>
        <w:t>Установить, что Международные стандарты финансовой отчетности и Разъяснения Международных стандартов финансовой отчетности, указанные в пункте 1 настоящего Приказа, вступают в силу на территории Российской Федерации со дня их официального опубликования в журнале "Бухгалтерский учет", являющемся официальным печатным изданием для опубликования Международных стандартов финансовой отчетности, Разъяснений Международных стандартов финансовой отчетности, а также изменений, которые вносятся в Международные стандарты финансовой отчетности и</w:t>
      </w:r>
      <w:proofErr w:type="gramEnd"/>
      <w:r w:rsidRPr="004064EF">
        <w:rPr>
          <w:rFonts w:ascii="Arial" w:hAnsi="Arial" w:cs="Arial"/>
          <w:sz w:val="26"/>
          <w:szCs w:val="26"/>
        </w:rPr>
        <w:t xml:space="preserve"> их Разъяснения, иных документов, определенных Фондом Международных стандартов финансовой отчетности в качестве неотъемлемой части Международных стандартов финансовой отчетности и (или) их Разъяснений.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proofErr w:type="spellStart"/>
      <w:r w:rsidRPr="004064EF">
        <w:rPr>
          <w:rFonts w:ascii="Arial" w:hAnsi="Arial" w:cs="Arial"/>
          <w:sz w:val="26"/>
          <w:szCs w:val="26"/>
        </w:rPr>
        <w:t>И.о</w:t>
      </w:r>
      <w:proofErr w:type="spellEnd"/>
      <w:r w:rsidRPr="004064EF">
        <w:rPr>
          <w:rFonts w:ascii="Arial" w:hAnsi="Arial" w:cs="Arial"/>
          <w:sz w:val="26"/>
          <w:szCs w:val="26"/>
        </w:rPr>
        <w:t>. Министра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А.Г.СИЛУАНОВ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Согласовано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Центральный банк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 xml:space="preserve">Российской </w:t>
      </w:r>
      <w:proofErr w:type="spellStart"/>
      <w:r w:rsidRPr="004064EF">
        <w:rPr>
          <w:rFonts w:ascii="Arial" w:hAnsi="Arial" w:cs="Arial"/>
          <w:sz w:val="26"/>
          <w:szCs w:val="26"/>
        </w:rPr>
        <w:t>Федерадии</w:t>
      </w:r>
      <w:proofErr w:type="spellEnd"/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Председатель Центрального банка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Российской Федерации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С.М.ИГНАТЬЕВ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24.11.2011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Федеральная служба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по финансовым рынкам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Заместитель руководителя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Федеральной службы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по финансовым рынкам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С.К.ХАРЛАМОВ</w:t>
      </w:r>
    </w:p>
    <w:p w:rsidR="004064EF" w:rsidRPr="004064EF" w:rsidRDefault="004064EF" w:rsidP="004064EF">
      <w:pPr>
        <w:pStyle w:val="a3"/>
        <w:spacing w:before="120" w:beforeAutospacing="0" w:after="120" w:afterAutospacing="0" w:line="255" w:lineRule="atLeast"/>
        <w:ind w:left="300" w:right="300"/>
        <w:jc w:val="right"/>
        <w:rPr>
          <w:rFonts w:ascii="Arial" w:hAnsi="Arial" w:cs="Arial"/>
          <w:sz w:val="26"/>
          <w:szCs w:val="26"/>
        </w:rPr>
      </w:pPr>
      <w:r w:rsidRPr="004064EF">
        <w:rPr>
          <w:rFonts w:ascii="Arial" w:hAnsi="Arial" w:cs="Arial"/>
          <w:sz w:val="26"/>
          <w:szCs w:val="26"/>
        </w:rPr>
        <w:t>23.11.2011</w:t>
      </w:r>
    </w:p>
    <w:p w:rsidR="00794F30" w:rsidRPr="004064EF" w:rsidRDefault="00794F30" w:rsidP="004064EF"/>
    <w:sectPr w:rsidR="00794F30" w:rsidRPr="0040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EF"/>
    <w:rsid w:val="004064EF"/>
    <w:rsid w:val="007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4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4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xpravo.ru/navigator/35-nalog_na_priby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xpravo.ru/navigator/35-nalog_na_priby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chetnaya-politika.ru/" TargetMode="External"/><Relationship Id="rId5" Type="http://schemas.openxmlformats.org/officeDocument/2006/relationships/hyperlink" Target="http://taxpravo.ru/file/80c6ac8ba2738e0d611a0964f0d4a20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2016-06-06T08:30:00Z</dcterms:created>
  <dcterms:modified xsi:type="dcterms:W3CDTF">2016-06-06T08:30:00Z</dcterms:modified>
</cp:coreProperties>
</file>