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6B0" w:rsidRPr="00AA66B0" w:rsidRDefault="00AA66B0" w:rsidP="00AA66B0">
      <w:pPr>
        <w:jc w:val="center"/>
        <w:rPr>
          <w:rFonts w:ascii="Tahoma" w:hAnsi="Tahoma" w:cs="Tahoma"/>
          <w:sz w:val="21"/>
          <w:szCs w:val="21"/>
          <w:shd w:val="clear" w:color="auto" w:fill="F1F2EE"/>
        </w:rPr>
      </w:pPr>
      <w:r w:rsidRPr="00AA66B0">
        <w:rPr>
          <w:rFonts w:ascii="Tahoma" w:hAnsi="Tahoma" w:cs="Tahoma"/>
          <w:sz w:val="21"/>
          <w:szCs w:val="21"/>
          <w:shd w:val="clear" w:color="auto" w:fill="F1F2EE"/>
        </w:rPr>
        <w:t>МИНИСТЕРСТВО ФИНАНСОВ РОССИЙСКОЙ ФЕДЕРАЦИИ</w:t>
      </w:r>
      <w:r w:rsidRPr="00AA66B0">
        <w:rPr>
          <w:rFonts w:ascii="Tahoma" w:hAnsi="Tahoma" w:cs="Tahoma"/>
          <w:sz w:val="21"/>
          <w:szCs w:val="21"/>
        </w:rPr>
        <w:br/>
      </w:r>
    </w:p>
    <w:p w:rsidR="00AA66B0" w:rsidRPr="00AA66B0" w:rsidRDefault="00AA66B0" w:rsidP="00AA66B0">
      <w:pPr>
        <w:jc w:val="center"/>
        <w:rPr>
          <w:rFonts w:ascii="Tahoma" w:hAnsi="Tahoma" w:cs="Tahoma"/>
          <w:sz w:val="21"/>
          <w:szCs w:val="21"/>
          <w:shd w:val="clear" w:color="auto" w:fill="F1F2EE"/>
        </w:rPr>
      </w:pPr>
      <w:r w:rsidRPr="00AA66B0">
        <w:rPr>
          <w:rFonts w:ascii="Tahoma" w:hAnsi="Tahoma" w:cs="Tahoma"/>
          <w:sz w:val="21"/>
          <w:szCs w:val="21"/>
          <w:shd w:val="clear" w:color="auto" w:fill="F1F2EE"/>
        </w:rPr>
        <w:t>ПИСЬМО</w:t>
      </w:r>
      <w:r w:rsidRPr="00AA66B0">
        <w:rPr>
          <w:rFonts w:ascii="Tahoma" w:hAnsi="Tahoma" w:cs="Tahoma"/>
          <w:sz w:val="21"/>
          <w:szCs w:val="21"/>
        </w:rPr>
        <w:br/>
      </w:r>
    </w:p>
    <w:p w:rsidR="00AA66B0" w:rsidRPr="00AA66B0" w:rsidRDefault="00AA66B0" w:rsidP="00AA66B0">
      <w:pPr>
        <w:jc w:val="center"/>
        <w:rPr>
          <w:rFonts w:ascii="Tahoma" w:hAnsi="Tahoma" w:cs="Tahoma"/>
          <w:sz w:val="21"/>
          <w:szCs w:val="21"/>
          <w:shd w:val="clear" w:color="auto" w:fill="F1F2EE"/>
        </w:rPr>
      </w:pPr>
      <w:bookmarkStart w:id="0" w:name="_GoBack"/>
      <w:r w:rsidRPr="00AA66B0">
        <w:rPr>
          <w:rFonts w:ascii="Tahoma" w:hAnsi="Tahoma" w:cs="Tahoma"/>
          <w:sz w:val="21"/>
          <w:szCs w:val="21"/>
          <w:shd w:val="clear" w:color="auto" w:fill="F1F2EE"/>
        </w:rPr>
        <w:t>от 16 мая 2005 г. N 03-03-02-04/1/120</w:t>
      </w:r>
      <w:bookmarkEnd w:id="0"/>
      <w:r w:rsidRPr="00AA66B0">
        <w:rPr>
          <w:rFonts w:ascii="Tahoma" w:hAnsi="Tahoma" w:cs="Tahoma"/>
          <w:sz w:val="21"/>
          <w:szCs w:val="21"/>
        </w:rPr>
        <w:br/>
      </w:r>
    </w:p>
    <w:p w:rsidR="00AA66B0" w:rsidRPr="00AA66B0" w:rsidRDefault="00AA66B0" w:rsidP="00AA66B0">
      <w:pPr>
        <w:rPr>
          <w:rFonts w:ascii="Tahoma" w:hAnsi="Tahoma" w:cs="Tahoma"/>
          <w:sz w:val="21"/>
          <w:szCs w:val="21"/>
          <w:shd w:val="clear" w:color="auto" w:fill="F1F2EE"/>
        </w:rPr>
      </w:pPr>
      <w:r w:rsidRPr="00AA66B0">
        <w:rPr>
          <w:rFonts w:ascii="Tahoma" w:hAnsi="Tahoma" w:cs="Tahoma"/>
          <w:sz w:val="21"/>
          <w:szCs w:val="21"/>
          <w:shd w:val="clear" w:color="auto" w:fill="F1F2EE"/>
        </w:rPr>
        <w:t xml:space="preserve">Департамент налоговой и таможенно-тарифной </w:t>
      </w:r>
      <w:proofErr w:type="gramStart"/>
      <w:r w:rsidRPr="00AA66B0">
        <w:rPr>
          <w:rFonts w:ascii="Tahoma" w:hAnsi="Tahoma" w:cs="Tahoma"/>
          <w:sz w:val="21"/>
          <w:szCs w:val="21"/>
          <w:shd w:val="clear" w:color="auto" w:fill="F1F2EE"/>
        </w:rPr>
        <w:t>политики на письмо</w:t>
      </w:r>
      <w:proofErr w:type="gramEnd"/>
      <w:r w:rsidRPr="00AA66B0">
        <w:rPr>
          <w:rFonts w:ascii="Tahoma" w:hAnsi="Tahoma" w:cs="Tahoma"/>
          <w:sz w:val="21"/>
          <w:szCs w:val="21"/>
          <w:shd w:val="clear" w:color="auto" w:fill="F1F2EE"/>
        </w:rPr>
        <w:t xml:space="preserve"> сообщает следующее.</w:t>
      </w:r>
      <w:r w:rsidRPr="00AA66B0">
        <w:rPr>
          <w:rFonts w:ascii="Tahoma" w:hAnsi="Tahoma" w:cs="Tahoma"/>
          <w:sz w:val="21"/>
          <w:szCs w:val="21"/>
        </w:rPr>
        <w:br/>
      </w:r>
      <w:proofErr w:type="gramStart"/>
      <w:r w:rsidRPr="00AA66B0">
        <w:rPr>
          <w:rFonts w:ascii="Tahoma" w:hAnsi="Tahoma" w:cs="Tahoma"/>
          <w:sz w:val="21"/>
          <w:szCs w:val="21"/>
          <w:shd w:val="clear" w:color="auto" w:fill="F1F2EE"/>
        </w:rPr>
        <w:t>В соответствии с п. 1 ст. 75 Налогового кодекса Российской Федерации (далее - Кодекс) пеней признается денежная сумма, которую налогоплательщик, плательщик сборов или налоговый агент должны выплатить в случае уплаты причитающихся сумм налогов или сборов в более поздние по сравнению с установленными законодательством о налогах и сборах сроки.</w:t>
      </w:r>
      <w:proofErr w:type="gramEnd"/>
      <w:r w:rsidRPr="00AA66B0">
        <w:rPr>
          <w:rFonts w:ascii="Tahoma" w:hAnsi="Tahoma" w:cs="Tahoma"/>
          <w:sz w:val="21"/>
          <w:szCs w:val="21"/>
        </w:rPr>
        <w:br/>
      </w:r>
      <w:r w:rsidRPr="00AA66B0">
        <w:rPr>
          <w:rFonts w:ascii="Tahoma" w:hAnsi="Tahoma" w:cs="Tahoma"/>
          <w:sz w:val="21"/>
          <w:szCs w:val="21"/>
          <w:shd w:val="clear" w:color="auto" w:fill="F1F2EE"/>
        </w:rPr>
        <w:t>Статьей 346.7 Кодекса определено, что налоговым периодом по единому сельскохозяйственному налогу признается календарный год, а отчетным периодом - полугодие.</w:t>
      </w:r>
      <w:r w:rsidRPr="00AA66B0">
        <w:rPr>
          <w:rFonts w:ascii="Tahoma" w:hAnsi="Tahoma" w:cs="Tahoma"/>
          <w:sz w:val="21"/>
          <w:szCs w:val="21"/>
        </w:rPr>
        <w:br/>
      </w:r>
    </w:p>
    <w:p w:rsidR="00AA66B0" w:rsidRPr="00AA66B0" w:rsidRDefault="00AA66B0" w:rsidP="00AA66B0">
      <w:pPr>
        <w:rPr>
          <w:rFonts w:ascii="Tahoma" w:hAnsi="Tahoma" w:cs="Tahoma"/>
          <w:sz w:val="21"/>
          <w:szCs w:val="21"/>
          <w:shd w:val="clear" w:color="auto" w:fill="F1F2EE"/>
        </w:rPr>
      </w:pPr>
      <w:r w:rsidRPr="00AA66B0">
        <w:rPr>
          <w:rFonts w:ascii="Tahoma" w:hAnsi="Tahoma" w:cs="Tahoma"/>
          <w:sz w:val="21"/>
          <w:szCs w:val="21"/>
          <w:shd w:val="clear" w:color="auto" w:fill="F1F2EE"/>
        </w:rPr>
        <w:t>По итогам отчетного периода налогоплательщики исчисляют сумму авансового платежа по единому сельскохозяйственному налогу исходя из налоговой ставки и фактически полученных доходов, уменьшенных на величину расходов, рассчитанных нарастающим итогом с начала налогового периода до окончания полугодия. Уплаченные авансовые платежи по указанному налогу засчитываются в счет уплаты единого сельскохозяйственного налога по итогам налогового периода. Единый сельскохозяйственный налог, подлежащий уплате по истечении налогового периода, уплачивается не позднее срока, установленного для подачи налоговых деклараций за соответствующий налоговый период п. 1 ст. 346.10 Кодекса (п. п. 2, 3, 5 ст. 346.9 Кодекса).</w:t>
      </w:r>
      <w:r w:rsidRPr="00AA66B0">
        <w:rPr>
          <w:rFonts w:ascii="Tahoma" w:hAnsi="Tahoma" w:cs="Tahoma"/>
          <w:sz w:val="21"/>
          <w:szCs w:val="21"/>
        </w:rPr>
        <w:br/>
      </w:r>
    </w:p>
    <w:p w:rsidR="00AA66B0" w:rsidRPr="00AA66B0" w:rsidRDefault="00AA66B0" w:rsidP="00AA66B0">
      <w:pPr>
        <w:rPr>
          <w:rFonts w:ascii="Tahoma" w:hAnsi="Tahoma" w:cs="Tahoma"/>
          <w:sz w:val="21"/>
          <w:szCs w:val="21"/>
          <w:shd w:val="clear" w:color="auto" w:fill="F1F2EE"/>
        </w:rPr>
      </w:pPr>
      <w:proofErr w:type="gramStart"/>
      <w:r w:rsidRPr="00AA66B0">
        <w:rPr>
          <w:rFonts w:ascii="Tahoma" w:hAnsi="Tahoma" w:cs="Tahoma"/>
          <w:sz w:val="21"/>
          <w:szCs w:val="21"/>
          <w:shd w:val="clear" w:color="auto" w:fill="F1F2EE"/>
        </w:rPr>
        <w:t>Пленум Высшего Арбитражного Суда Российской Федерации в п. 20 Постановления от 28.02.2001 N 5 отметил, что в соответствии с положениями ст. ст. 52 - 55 Кодекса налогоплательщик исчисляет сумму налога по итогам каждого налогового, а в случаях, установленных законом, - отчетного периода на основе налоговой базы, то есть исходя из реальных финансовых результатов своей экономической деятельности за данный налоговый (отчетный) период.</w:t>
      </w:r>
      <w:proofErr w:type="gramEnd"/>
      <w:r w:rsidRPr="00AA66B0">
        <w:rPr>
          <w:rFonts w:ascii="Tahoma" w:hAnsi="Tahoma" w:cs="Tahoma"/>
          <w:sz w:val="21"/>
          <w:szCs w:val="21"/>
          <w:shd w:val="clear" w:color="auto" w:fill="F1F2EE"/>
        </w:rPr>
        <w:t xml:space="preserve"> Пеня, предусмотренная ст. 75 Кодекса, может быть взыскана с налогоплательщика в том случае, если в силу закона о конкретном виде налога авансовый платеж исчисляется по итогам отчетного периода на основе налоговой базы, определяемой в соответствии со ст. ст. 53 и 54 Кодекса.</w:t>
      </w:r>
      <w:r w:rsidRPr="00AA66B0">
        <w:rPr>
          <w:rFonts w:ascii="Tahoma" w:hAnsi="Tahoma" w:cs="Tahoma"/>
          <w:sz w:val="21"/>
          <w:szCs w:val="21"/>
        </w:rPr>
        <w:br/>
      </w:r>
      <w:r w:rsidRPr="00AA66B0">
        <w:rPr>
          <w:rFonts w:ascii="Tahoma" w:hAnsi="Tahoma" w:cs="Tahoma"/>
          <w:sz w:val="21"/>
          <w:szCs w:val="21"/>
          <w:shd w:val="clear" w:color="auto" w:fill="F1F2EE"/>
        </w:rPr>
        <w:t>Исходя из изложенного, считаем правомерным начисление пени за просрочку уплаты авансового платежа по единому сельскохозяйственному налогу за отчетный период.</w:t>
      </w:r>
      <w:r w:rsidRPr="00AA66B0">
        <w:rPr>
          <w:rFonts w:ascii="Tahoma" w:hAnsi="Tahoma" w:cs="Tahoma"/>
          <w:sz w:val="21"/>
          <w:szCs w:val="21"/>
        </w:rPr>
        <w:br/>
      </w:r>
    </w:p>
    <w:p w:rsidR="00AA66B0" w:rsidRPr="00AA66B0" w:rsidRDefault="00AA66B0" w:rsidP="00AA66B0">
      <w:pPr>
        <w:rPr>
          <w:rFonts w:ascii="Tahoma" w:hAnsi="Tahoma" w:cs="Tahoma"/>
          <w:sz w:val="21"/>
          <w:szCs w:val="21"/>
          <w:shd w:val="clear" w:color="auto" w:fill="F1F2EE"/>
        </w:rPr>
      </w:pPr>
      <w:r w:rsidRPr="00AA66B0">
        <w:rPr>
          <w:rFonts w:ascii="Tahoma" w:hAnsi="Tahoma" w:cs="Tahoma"/>
          <w:sz w:val="21"/>
          <w:szCs w:val="21"/>
          <w:shd w:val="clear" w:color="auto" w:fill="F1F2EE"/>
        </w:rPr>
        <w:t>Заместитель директора</w:t>
      </w:r>
      <w:r w:rsidRPr="00AA66B0">
        <w:rPr>
          <w:rFonts w:ascii="Tahoma" w:hAnsi="Tahoma" w:cs="Tahoma"/>
          <w:sz w:val="21"/>
          <w:szCs w:val="21"/>
        </w:rPr>
        <w:br/>
      </w:r>
      <w:r w:rsidRPr="00AA66B0">
        <w:rPr>
          <w:rFonts w:ascii="Tahoma" w:hAnsi="Tahoma" w:cs="Tahoma"/>
          <w:sz w:val="21"/>
          <w:szCs w:val="21"/>
          <w:shd w:val="clear" w:color="auto" w:fill="F1F2EE"/>
        </w:rPr>
        <w:t>Департамента налоговой</w:t>
      </w:r>
      <w:r w:rsidRPr="00AA66B0">
        <w:rPr>
          <w:rFonts w:ascii="Tahoma" w:hAnsi="Tahoma" w:cs="Tahoma"/>
          <w:sz w:val="21"/>
          <w:szCs w:val="21"/>
        </w:rPr>
        <w:br/>
      </w:r>
      <w:r w:rsidRPr="00AA66B0">
        <w:rPr>
          <w:rFonts w:ascii="Tahoma" w:hAnsi="Tahoma" w:cs="Tahoma"/>
          <w:sz w:val="21"/>
          <w:szCs w:val="21"/>
          <w:shd w:val="clear" w:color="auto" w:fill="F1F2EE"/>
        </w:rPr>
        <w:t>и таможенно-тарифной политики</w:t>
      </w:r>
      <w:r w:rsidRPr="00AA66B0">
        <w:rPr>
          <w:rFonts w:ascii="Tahoma" w:hAnsi="Tahoma" w:cs="Tahoma"/>
          <w:sz w:val="21"/>
          <w:szCs w:val="21"/>
        </w:rPr>
        <w:br/>
      </w:r>
    </w:p>
    <w:p w:rsidR="00AA66B0" w:rsidRPr="00AA66B0" w:rsidRDefault="00AA66B0" w:rsidP="00AA66B0">
      <w:pPr>
        <w:rPr>
          <w:rFonts w:ascii="Tahoma" w:hAnsi="Tahoma" w:cs="Tahoma"/>
          <w:sz w:val="21"/>
          <w:szCs w:val="21"/>
          <w:shd w:val="clear" w:color="auto" w:fill="F1F2EE"/>
        </w:rPr>
      </w:pPr>
      <w:r w:rsidRPr="00AA66B0">
        <w:rPr>
          <w:rFonts w:ascii="Tahoma" w:hAnsi="Tahoma" w:cs="Tahoma"/>
          <w:sz w:val="21"/>
          <w:szCs w:val="21"/>
          <w:shd w:val="clear" w:color="auto" w:fill="F1F2EE"/>
        </w:rPr>
        <w:t>А.И.ИВАНЕЕВ</w:t>
      </w:r>
      <w:r w:rsidRPr="00AA66B0">
        <w:rPr>
          <w:rFonts w:ascii="Tahoma" w:hAnsi="Tahoma" w:cs="Tahoma"/>
          <w:sz w:val="21"/>
          <w:szCs w:val="21"/>
        </w:rPr>
        <w:br/>
      </w:r>
    </w:p>
    <w:p w:rsidR="00BE1D64" w:rsidRPr="00AA66B0" w:rsidRDefault="00AA66B0" w:rsidP="00AA66B0">
      <w:r w:rsidRPr="00AA66B0">
        <w:rPr>
          <w:rFonts w:ascii="Tahoma" w:hAnsi="Tahoma" w:cs="Tahoma"/>
          <w:sz w:val="21"/>
          <w:szCs w:val="21"/>
          <w:shd w:val="clear" w:color="auto" w:fill="F1F2EE"/>
        </w:rPr>
        <w:t>16.05.2005</w:t>
      </w:r>
    </w:p>
    <w:p w:rsidR="00AA66B0" w:rsidRPr="00AA66B0" w:rsidRDefault="00AA66B0"/>
    <w:sectPr w:rsidR="00AA66B0" w:rsidRPr="00AA66B0" w:rsidSect="002C19CE">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606"/>
    <w:rsid w:val="000D4606"/>
    <w:rsid w:val="002C19CE"/>
    <w:rsid w:val="00AA1ED9"/>
    <w:rsid w:val="00AA66B0"/>
    <w:rsid w:val="00BE1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460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460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84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Олечка</dc:creator>
  <cp:lastModifiedBy>Олечка</cp:lastModifiedBy>
  <cp:revision>2</cp:revision>
  <dcterms:created xsi:type="dcterms:W3CDTF">2015-07-13T07:21:00Z</dcterms:created>
  <dcterms:modified xsi:type="dcterms:W3CDTF">2015-07-13T07:21:00Z</dcterms:modified>
</cp:coreProperties>
</file>